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D5A7" w14:textId="2697CBF8" w:rsidR="00301610" w:rsidRDefault="00301610" w:rsidP="00301610">
      <w:pPr>
        <w:pStyle w:val="Nadpis2"/>
        <w:rPr>
          <w:rFonts w:eastAsia="Calibri"/>
        </w:rPr>
      </w:pPr>
      <w:bookmarkStart w:id="0" w:name="_Toc18"/>
      <w:bookmarkStart w:id="1" w:name="_Toc65696231"/>
      <w:r>
        <w:rPr>
          <w:rFonts w:eastAsia="Calibri"/>
        </w:rPr>
        <w:t>ZÁ</w:t>
      </w:r>
      <w:bookmarkEnd w:id="0"/>
      <w:r>
        <w:rPr>
          <w:rFonts w:eastAsia="Calibri"/>
        </w:rPr>
        <w:t>ZNAM O ČINNOSTI ZPRACOVÁNÍ</w:t>
      </w:r>
      <w:bookmarkEnd w:id="1"/>
    </w:p>
    <w:p w14:paraId="1CB74960" w14:textId="77777777" w:rsidR="00301610" w:rsidRDefault="00301610" w:rsidP="00301610">
      <w:pPr>
        <w:spacing w:after="0"/>
        <w:rPr>
          <w:rFonts w:eastAsia="Calibri"/>
        </w:rPr>
      </w:pPr>
      <w:r>
        <w:t>Informace o činnostech a odpovědnosti za zpracování</w:t>
      </w:r>
    </w:p>
    <w:p w14:paraId="3E86BC52" w14:textId="77777777" w:rsidR="00301610" w:rsidRDefault="00301610" w:rsidP="00301610">
      <w:r>
        <w:t>(článek 30, odstavec 1, písm. b) Obecného nařízení – GDPR)</w:t>
      </w:r>
    </w:p>
    <w:tbl>
      <w:tblPr>
        <w:tblW w:w="5000" w:type="pct"/>
        <w:tblInd w:w="5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626"/>
        <w:gridCol w:w="5440"/>
      </w:tblGrid>
      <w:tr w:rsidR="00301610" w14:paraId="121F41F4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755C5" w14:textId="6BFA1979" w:rsidR="00301610" w:rsidRDefault="0030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správce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25622" w14:textId="69916AC7" w:rsidR="00301610" w:rsidRDefault="00301610">
            <w:r>
              <w:t>[</w:t>
            </w:r>
            <w:commentRangeStart w:id="2"/>
            <w:r>
              <w:t>název organizace, IČ, sídlo</w:t>
            </w:r>
            <w:commentRangeEnd w:id="2"/>
            <w:r w:rsidR="005A6067">
              <w:rPr>
                <w:rStyle w:val="Odkaznakoment"/>
              </w:rPr>
              <w:commentReference w:id="2"/>
            </w:r>
            <w:r>
              <w:t>]</w:t>
            </w:r>
          </w:p>
        </w:tc>
      </w:tr>
      <w:tr w:rsidR="00301610" w14:paraId="190E2648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C61B4" w14:textId="12B260C4" w:rsidR="00301610" w:rsidRDefault="0030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údaje správce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D2DAD" w14:textId="05EF0E86" w:rsidR="00301610" w:rsidRDefault="00301610">
            <w:r>
              <w:t>[</w:t>
            </w:r>
            <w:commentRangeStart w:id="3"/>
            <w:r>
              <w:t>adresa, telefon, email, www stránky</w:t>
            </w:r>
            <w:commentRangeEnd w:id="3"/>
            <w:r w:rsidR="005A6067">
              <w:rPr>
                <w:rStyle w:val="Odkaznakoment"/>
              </w:rPr>
              <w:commentReference w:id="3"/>
            </w:r>
            <w:r>
              <w:t>]</w:t>
            </w:r>
          </w:p>
        </w:tc>
      </w:tr>
      <w:tr w:rsidR="00301610" w14:paraId="019880FB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2D6B8" w14:textId="721DFDAA" w:rsidR="00301610" w:rsidRDefault="0030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pověřence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0CB6" w14:textId="1DD4A314" w:rsidR="00301610" w:rsidRDefault="00301610">
            <w:r>
              <w:t>[</w:t>
            </w:r>
            <w:commentRangeStart w:id="4"/>
            <w:r>
              <w:t>jméno a příjmení, telefon, email</w:t>
            </w:r>
            <w:commentRangeEnd w:id="4"/>
            <w:r w:rsidR="005A6067">
              <w:rPr>
                <w:rStyle w:val="Odkaznakoment"/>
              </w:rPr>
              <w:commentReference w:id="4"/>
            </w:r>
            <w:r>
              <w:t>]</w:t>
            </w:r>
          </w:p>
        </w:tc>
      </w:tr>
      <w:tr w:rsidR="00301610" w14:paraId="416C8389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F36477" w14:textId="77777777" w:rsidR="00301610" w:rsidRDefault="00301610">
            <w:r>
              <w:rPr>
                <w:sz w:val="24"/>
                <w:szCs w:val="24"/>
              </w:rPr>
              <w:t>Označení zpracovatelských činností</w:t>
            </w:r>
          </w:p>
          <w:p w14:paraId="0161F86F" w14:textId="77777777" w:rsidR="00301610" w:rsidRDefault="00301610">
            <w:r>
              <w:rPr>
                <w:sz w:val="16"/>
                <w:szCs w:val="16"/>
              </w:rPr>
              <w:t>Výslovné označení dokumentovaného zpracování / činnosti zpracování na základě identifikovaného procesu. Pro pojmenování identifikovaného procesu by měl být použit běžný interní termín používaný v organizaci.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846D94" w14:textId="3793B95D" w:rsidR="00301610" w:rsidRDefault="00301610">
            <w:proofErr w:type="spellStart"/>
            <w:r>
              <w:t>Samotestování</w:t>
            </w:r>
            <w:proofErr w:type="spellEnd"/>
            <w:r>
              <w:t xml:space="preserve"> na onemocnění COVID-19</w:t>
            </w:r>
          </w:p>
        </w:tc>
      </w:tr>
      <w:tr w:rsidR="00301610" w14:paraId="3E13F63C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FEE9A8" w14:textId="77777777" w:rsidR="00301610" w:rsidRDefault="00301610">
            <w:r>
              <w:rPr>
                <w:sz w:val="24"/>
                <w:szCs w:val="24"/>
              </w:rPr>
              <w:t>Odpovědné oddělení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6D41C" w14:textId="77777777" w:rsidR="00301610" w:rsidRDefault="00301610"/>
        </w:tc>
      </w:tr>
      <w:tr w:rsidR="00301610" w14:paraId="21011DE9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DA4141" w14:textId="77777777" w:rsidR="00301610" w:rsidRDefault="00301610">
            <w:r>
              <w:rPr>
                <w:sz w:val="24"/>
                <w:szCs w:val="24"/>
              </w:rPr>
              <w:t>Odpovědná pozice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060BD8" w14:textId="393AF389" w:rsidR="00301610" w:rsidRDefault="00301610"/>
        </w:tc>
      </w:tr>
      <w:tr w:rsidR="00301610" w14:paraId="5A77D367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E52F36" w14:textId="77777777" w:rsidR="00301610" w:rsidRDefault="00301610">
            <w:r>
              <w:rPr>
                <w:sz w:val="24"/>
                <w:szCs w:val="24"/>
              </w:rPr>
              <w:t>Odpovědná osoba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113F7" w14:textId="77777777" w:rsidR="00301610" w:rsidRDefault="00301610"/>
        </w:tc>
      </w:tr>
      <w:tr w:rsidR="00301610" w14:paraId="03B8947E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F60D2E" w14:textId="77777777" w:rsidR="00301610" w:rsidRDefault="00301610">
            <w:r>
              <w:rPr>
                <w:sz w:val="24"/>
                <w:szCs w:val="24"/>
              </w:rPr>
              <w:t>Sdílená odpovědnost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473BB" w14:textId="4C673B94" w:rsidR="00301610" w:rsidRDefault="00301610">
            <w:commentRangeStart w:id="5"/>
            <w:r>
              <w:rPr>
                <w:sz w:val="24"/>
                <w:szCs w:val="24"/>
              </w:rPr>
              <w:t>Sdílená odpovědnost není</w:t>
            </w:r>
            <w:commentRangeEnd w:id="5"/>
            <w:r>
              <w:rPr>
                <w:rStyle w:val="Odkaznakoment"/>
              </w:rPr>
              <w:commentReference w:id="5"/>
            </w:r>
          </w:p>
        </w:tc>
      </w:tr>
    </w:tbl>
    <w:p w14:paraId="5B256B28" w14:textId="77777777" w:rsidR="00301610" w:rsidRDefault="00301610" w:rsidP="00301610">
      <w:pPr>
        <w:pStyle w:val="Nadpis1"/>
        <w:rPr>
          <w:rFonts w:ascii="Calibri" w:eastAsia="Calibri" w:hAnsi="Calibri" w:cs="Calibri"/>
          <w:sz w:val="36"/>
          <w:szCs w:val="36"/>
        </w:rPr>
      </w:pPr>
      <w:bookmarkStart w:id="6" w:name="_Toc19"/>
      <w:bookmarkEnd w:id="6"/>
    </w:p>
    <w:p w14:paraId="458CBF03" w14:textId="77777777" w:rsidR="00301610" w:rsidRDefault="00301610" w:rsidP="00301610">
      <w:pPr>
        <w:pStyle w:val="Nadpis2"/>
        <w:rPr>
          <w:rFonts w:eastAsia="Calibri"/>
        </w:rPr>
      </w:pPr>
      <w:bookmarkStart w:id="7" w:name="_Toc20"/>
      <w:bookmarkStart w:id="8" w:name="_Toc65696232"/>
      <w:r>
        <w:rPr>
          <w:rFonts w:eastAsia="Calibri"/>
        </w:rPr>
        <w:t>PODROBNOSTI O ZPRACOVÁNÍ</w:t>
      </w:r>
      <w:bookmarkEnd w:id="7"/>
      <w:bookmarkEnd w:id="8"/>
    </w:p>
    <w:p w14:paraId="4388BBFE" w14:textId="77777777" w:rsidR="00301610" w:rsidRDefault="00301610" w:rsidP="00301610">
      <w:pPr>
        <w:rPr>
          <w:rFonts w:eastAsia="Calibri"/>
        </w:rPr>
      </w:pPr>
      <w:r>
        <w:t>Podrobnosti o zpracovatelské činnosti:</w:t>
      </w:r>
    </w:p>
    <w:tbl>
      <w:tblPr>
        <w:tblW w:w="5000" w:type="pct"/>
        <w:tblInd w:w="5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626"/>
        <w:gridCol w:w="5440"/>
      </w:tblGrid>
      <w:tr w:rsidR="00301610" w14:paraId="31A1E427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0DA4F" w14:textId="77777777" w:rsidR="00301610" w:rsidRDefault="00301610">
            <w:r>
              <w:rPr>
                <w:sz w:val="24"/>
                <w:szCs w:val="24"/>
              </w:rPr>
              <w:t>Účely zpracování</w:t>
            </w:r>
          </w:p>
          <w:p w14:paraId="08E3FD24" w14:textId="77777777" w:rsidR="00301610" w:rsidRDefault="00301610"/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485C5" w14:textId="77777777" w:rsidR="005A6067" w:rsidRDefault="005A6067">
            <w:r w:rsidRPr="005A6067">
              <w:t>Vytváření bezpečného a zdraví neohrožujícího pracovního prostředí</w:t>
            </w:r>
            <w:r>
              <w:t xml:space="preserve"> </w:t>
            </w:r>
            <w:r w:rsidRPr="005A6067">
              <w:t>na pracoviš</w:t>
            </w:r>
            <w:r>
              <w:rPr>
                <w:rFonts w:hint="eastAsia"/>
              </w:rPr>
              <w:t>t</w:t>
            </w:r>
            <w:r>
              <w:t>i</w:t>
            </w:r>
            <w:r w:rsidRPr="005A6067">
              <w:t xml:space="preserve"> a přijímání opatření k předcházení rizikům a vytváření</w:t>
            </w:r>
            <w:r>
              <w:t xml:space="preserve"> </w:t>
            </w:r>
            <w:r w:rsidRPr="005A6067">
              <w:t>bezpečných pracovních podmínek pro zaměstnance.</w:t>
            </w:r>
          </w:p>
          <w:p w14:paraId="45C3156C" w14:textId="77777777" w:rsidR="00301610" w:rsidRDefault="005A6067">
            <w:r w:rsidRPr="005A6067">
              <w:t>Předložení výkazu zdravotním pojišťovnám testovaných</w:t>
            </w:r>
            <w:r>
              <w:t xml:space="preserve"> </w:t>
            </w:r>
            <w:r w:rsidRPr="005A6067">
              <w:t>zaměstnanců k zpětnému proplacení příspěvku na an</w:t>
            </w:r>
            <w:r>
              <w:rPr>
                <w:rFonts w:hint="eastAsia"/>
              </w:rPr>
              <w:t>t</w:t>
            </w:r>
            <w:r>
              <w:t>i</w:t>
            </w:r>
            <w:r w:rsidRPr="005A6067">
              <w:t>genní testy.</w:t>
            </w:r>
          </w:p>
          <w:p w14:paraId="2D730C0C" w14:textId="59162CBA" w:rsidR="00D53CCD" w:rsidRDefault="00D53CCD">
            <w:r>
              <w:t>Doložení důkazu o provedení testů dle vládního nařízení</w:t>
            </w:r>
          </w:p>
        </w:tc>
      </w:tr>
      <w:tr w:rsidR="00301610" w14:paraId="1A69445F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A840F" w14:textId="77777777" w:rsidR="00301610" w:rsidRDefault="00301610">
            <w:r>
              <w:rPr>
                <w:sz w:val="24"/>
                <w:szCs w:val="24"/>
              </w:rPr>
              <w:t>Právní základ pro zpracování</w:t>
            </w:r>
          </w:p>
          <w:p w14:paraId="50690FC3" w14:textId="77777777" w:rsidR="00301610" w:rsidRDefault="00301610"/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8E7D49" w14:textId="7576CC04" w:rsidR="005A6067" w:rsidRPr="005A6067" w:rsidRDefault="005A6067" w:rsidP="005A60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povinnost správce</w:t>
            </w:r>
          </w:p>
        </w:tc>
      </w:tr>
      <w:tr w:rsidR="00301610" w14:paraId="74511D7F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70A4BC" w14:textId="77777777" w:rsidR="00301610" w:rsidRDefault="00301610">
            <w:r>
              <w:rPr>
                <w:sz w:val="24"/>
                <w:szCs w:val="24"/>
              </w:rPr>
              <w:t>Zákony, normy, směrnice</w:t>
            </w:r>
          </w:p>
          <w:p w14:paraId="236CB14A" w14:textId="77777777" w:rsidR="00301610" w:rsidRDefault="00301610">
            <w:r>
              <w:rPr>
                <w:sz w:val="16"/>
                <w:szCs w:val="16"/>
              </w:rPr>
              <w:t>Pravidla, kterými se řídí tento proces zpracování osobních údajů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A3A6D" w14:textId="77777777" w:rsidR="00301610" w:rsidRDefault="00301610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Zákonné normy</w:t>
            </w:r>
          </w:p>
          <w:p w14:paraId="5FB68CEB" w14:textId="31D1346F" w:rsidR="005A6067" w:rsidRDefault="005A6067" w:rsidP="005A6067">
            <w:pPr>
              <w:spacing w:after="0"/>
              <w:ind w:left="540" w:right="120"/>
            </w:pPr>
            <w:r>
              <w:t>Zákoník práce</w:t>
            </w:r>
          </w:p>
          <w:p w14:paraId="75B9E22F" w14:textId="77777777" w:rsidR="005A6067" w:rsidRDefault="005A6067" w:rsidP="005A6067">
            <w:pPr>
              <w:spacing w:after="0"/>
              <w:ind w:left="540" w:right="120"/>
            </w:pPr>
          </w:p>
          <w:p w14:paraId="1E003992" w14:textId="794908C8" w:rsidR="00301610" w:rsidRDefault="005A6067" w:rsidP="005A6067">
            <w:pPr>
              <w:spacing w:after="0"/>
              <w:ind w:left="540" w:right="120"/>
            </w:pPr>
            <w:r>
              <w:lastRenderedPageBreak/>
              <w:t>Mimořádné opatření MZČR MZDR 47828/2020-16/MIN/KAN</w:t>
            </w:r>
          </w:p>
          <w:p w14:paraId="09AD64F1" w14:textId="41D55E37" w:rsidR="00301610" w:rsidRDefault="0030161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Interní směrnice a politiky</w:t>
            </w:r>
          </w:p>
          <w:p w14:paraId="5C062F4A" w14:textId="0152105E" w:rsidR="00301610" w:rsidRDefault="005A6067">
            <w:pPr>
              <w:spacing w:after="0"/>
              <w:ind w:left="540" w:right="120"/>
            </w:pPr>
            <w:r>
              <w:t>[</w:t>
            </w:r>
            <w:commentRangeStart w:id="9"/>
            <w:r>
              <w:t>doplnit</w:t>
            </w:r>
            <w:commentRangeEnd w:id="9"/>
            <w:r>
              <w:rPr>
                <w:rStyle w:val="Odkaznakoment"/>
              </w:rPr>
              <w:commentReference w:id="9"/>
            </w:r>
            <w:r>
              <w:t>]</w:t>
            </w:r>
          </w:p>
        </w:tc>
      </w:tr>
      <w:tr w:rsidR="00301610" w14:paraId="5BD8CB7E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E57564" w14:textId="77777777" w:rsidR="00301610" w:rsidRDefault="00301610">
            <w:pPr>
              <w:spacing w:after="0"/>
            </w:pPr>
            <w:r>
              <w:rPr>
                <w:sz w:val="24"/>
                <w:szCs w:val="24"/>
              </w:rPr>
              <w:lastRenderedPageBreak/>
              <w:t>Kategorie subjektů údajů</w:t>
            </w:r>
          </w:p>
          <w:p w14:paraId="0BD558AB" w14:textId="77777777" w:rsidR="00301610" w:rsidRDefault="00301610">
            <w:r>
              <w:rPr>
                <w:sz w:val="24"/>
                <w:szCs w:val="24"/>
              </w:rPr>
              <w:t>(článek 30, odstavec 1, písm. c) Obecného nařízení – GDPR)</w:t>
            </w:r>
          </w:p>
          <w:p w14:paraId="12B75BB6" w14:textId="77777777" w:rsidR="00301610" w:rsidRDefault="00301610">
            <w:r>
              <w:rPr>
                <w:sz w:val="16"/>
                <w:szCs w:val="16"/>
              </w:rPr>
              <w:t>Příklady subjektů údajů: Zákazníci, zainteresované strany, zaměstnanci, dlužníci, pojistníci atd.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8E91F6" w14:textId="77777777" w:rsidR="00301610" w:rsidRDefault="005A60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Zaměstnanci</w:t>
            </w:r>
          </w:p>
          <w:p w14:paraId="1F460273" w14:textId="69EF4994" w:rsidR="005A6067" w:rsidRDefault="005A6067">
            <w:pPr>
              <w:spacing w:after="0"/>
            </w:pPr>
            <w:r>
              <w:rPr>
                <w:sz w:val="24"/>
                <w:szCs w:val="24"/>
              </w:rPr>
              <w:t>Spolupracující osoby</w:t>
            </w:r>
          </w:p>
        </w:tc>
      </w:tr>
      <w:tr w:rsidR="00301610" w14:paraId="280C24AD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03992F" w14:textId="77777777" w:rsidR="00301610" w:rsidRDefault="00301610">
            <w:pPr>
              <w:spacing w:after="0"/>
            </w:pPr>
            <w:r>
              <w:rPr>
                <w:sz w:val="24"/>
                <w:szCs w:val="24"/>
              </w:rPr>
              <w:t>Popis kategorií osobních údajů</w:t>
            </w:r>
          </w:p>
          <w:p w14:paraId="501875F1" w14:textId="77777777" w:rsidR="00301610" w:rsidRDefault="00301610">
            <w:r>
              <w:rPr>
                <w:sz w:val="24"/>
                <w:szCs w:val="24"/>
              </w:rPr>
              <w:t>(článek 30 odstavec 1 písm. c) Obecného nařízení – GDPR)</w:t>
            </w:r>
          </w:p>
          <w:p w14:paraId="55717E88" w14:textId="77777777" w:rsidR="00301610" w:rsidRDefault="00301610">
            <w:r>
              <w:rPr>
                <w:sz w:val="16"/>
                <w:szCs w:val="16"/>
              </w:rPr>
              <w:t xml:space="preserve">Kategorie nejsou </w:t>
            </w:r>
            <w:proofErr w:type="gramStart"/>
            <w:r>
              <w:rPr>
                <w:sz w:val="16"/>
                <w:szCs w:val="16"/>
              </w:rPr>
              <w:t>osobní  údaje</w:t>
            </w:r>
            <w:proofErr w:type="gramEnd"/>
            <w:r>
              <w:rPr>
                <w:sz w:val="16"/>
                <w:szCs w:val="16"/>
              </w:rPr>
              <w:t xml:space="preserve"> samotné, ale jejich popis nebo kategorizace (například adresa, datum narození, bankovní údaje apod. Jsou-li tyto kategorie údajů známy, musí být co nejkonkrétnější. Například informace 'údaje o zákaznících' není dostatečně specifická a podrobná.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01B64" w14:textId="77777777" w:rsidR="00301610" w:rsidRDefault="00301610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Běžné osobní údaje</w:t>
            </w:r>
          </w:p>
          <w:p w14:paraId="476FB077" w14:textId="08E9CBAF" w:rsidR="00301610" w:rsidRDefault="005A6067">
            <w:pPr>
              <w:spacing w:after="0"/>
              <w:ind w:left="54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</w:t>
            </w:r>
          </w:p>
          <w:p w14:paraId="0C37A83B" w14:textId="6546A2FA" w:rsidR="005A6067" w:rsidRDefault="005A6067">
            <w:pPr>
              <w:spacing w:after="0"/>
              <w:ind w:left="540" w:right="120"/>
            </w:pPr>
            <w:r>
              <w:t>Příjmení</w:t>
            </w:r>
          </w:p>
          <w:p w14:paraId="61E74F39" w14:textId="4D136C4B" w:rsidR="005A6067" w:rsidRDefault="005A6067">
            <w:pPr>
              <w:spacing w:after="0"/>
              <w:ind w:left="540" w:right="120"/>
            </w:pPr>
            <w:r>
              <w:t>Číslo pojištěnce</w:t>
            </w:r>
          </w:p>
          <w:p w14:paraId="7D2E673D" w14:textId="35D30BF5" w:rsidR="005A6067" w:rsidRDefault="005A6067">
            <w:pPr>
              <w:spacing w:after="0"/>
              <w:ind w:left="540" w:right="120"/>
            </w:pPr>
            <w:r>
              <w:t>Zdravotní pojišťovna</w:t>
            </w:r>
          </w:p>
          <w:p w14:paraId="7C7E8679" w14:textId="565764DF" w:rsidR="005A6067" w:rsidRDefault="005A6067">
            <w:pPr>
              <w:spacing w:after="0"/>
              <w:ind w:left="540" w:right="120"/>
            </w:pPr>
            <w:r>
              <w:t>Datum</w:t>
            </w:r>
          </w:p>
          <w:p w14:paraId="22D1B1CE" w14:textId="77777777" w:rsidR="00301610" w:rsidRDefault="00301610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Zvláštní osobní údaje</w:t>
            </w:r>
          </w:p>
          <w:p w14:paraId="619EE6E1" w14:textId="3D6A1D70" w:rsidR="00301610" w:rsidRDefault="005A6067">
            <w:pPr>
              <w:spacing w:after="0"/>
              <w:ind w:left="540" w:right="120"/>
            </w:pPr>
            <w:r>
              <w:t>Výsledek provedeného testu</w:t>
            </w:r>
          </w:p>
        </w:tc>
      </w:tr>
      <w:tr w:rsidR="00301610" w14:paraId="5473036F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E7B9A4" w14:textId="77777777" w:rsidR="00301610" w:rsidRDefault="00301610">
            <w:pPr>
              <w:spacing w:after="0"/>
            </w:pPr>
            <w:r>
              <w:rPr>
                <w:sz w:val="24"/>
                <w:szCs w:val="24"/>
              </w:rPr>
              <w:t>Příjemci, kterým byly nebo budou údaje zpřístupněny</w:t>
            </w:r>
          </w:p>
          <w:p w14:paraId="78C9BCA4" w14:textId="77777777" w:rsidR="00301610" w:rsidRDefault="00301610">
            <w:r>
              <w:rPr>
                <w:sz w:val="24"/>
                <w:szCs w:val="24"/>
              </w:rPr>
              <w:t>(článek 30 odstavec 1, písm. d), článek 28 GDPR)</w:t>
            </w:r>
          </w:p>
          <w:p w14:paraId="6E56C75A" w14:textId="77777777" w:rsidR="00301610" w:rsidRDefault="00301610">
            <w:r>
              <w:rPr>
                <w:sz w:val="16"/>
                <w:szCs w:val="16"/>
              </w:rPr>
              <w:t>Příjemci jsou zejména další oddělení/odbory organizace/skupiny zapojené do procesu zpracování nebo jiné skupiny osob či subjektů, které osobní údaje přijímají – například i prostřednictvím rozhraní. Jedná se o další speciální oddělení/odbory, smluvní strany, klienty, úřady, pojišťovny, zpracovatele dat (např. datová centra, call-centra, společnosti zabývající se skartací dokumentů, vývojem aplikací, poskytovatelé cloudových služeb) atd. zapojené do procesu zpracování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B791" w14:textId="77777777" w:rsidR="00301610" w:rsidRDefault="00301610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Externí příjemci</w:t>
            </w:r>
          </w:p>
          <w:p w14:paraId="0BD0F07F" w14:textId="77777777" w:rsidR="00301610" w:rsidRDefault="00301610">
            <w:pPr>
              <w:spacing w:after="0"/>
            </w:pPr>
            <w:r>
              <w:rPr>
                <w:i/>
                <w:iCs/>
                <w:sz w:val="24"/>
                <w:szCs w:val="24"/>
              </w:rPr>
              <w:t>Zpracovatelé</w:t>
            </w:r>
          </w:p>
          <w:p w14:paraId="69A7022A" w14:textId="45DF4D88" w:rsidR="00301610" w:rsidRDefault="005A6067">
            <w:pPr>
              <w:spacing w:after="0"/>
              <w:ind w:left="540" w:right="120"/>
            </w:pPr>
            <w:commentRangeStart w:id="10"/>
            <w:r>
              <w:t>nejsou</w:t>
            </w:r>
            <w:commentRangeEnd w:id="10"/>
            <w:r>
              <w:rPr>
                <w:rStyle w:val="Odkaznakoment"/>
              </w:rPr>
              <w:commentReference w:id="10"/>
            </w:r>
          </w:p>
          <w:p w14:paraId="470AF0C8" w14:textId="77777777" w:rsidR="00301610" w:rsidRDefault="00301610">
            <w:pPr>
              <w:spacing w:after="0"/>
            </w:pPr>
            <w:proofErr w:type="spellStart"/>
            <w:r>
              <w:rPr>
                <w:i/>
                <w:iCs/>
                <w:sz w:val="24"/>
                <w:szCs w:val="24"/>
              </w:rPr>
              <w:t>Subzpracovatelé</w:t>
            </w:r>
            <w:proofErr w:type="spellEnd"/>
          </w:p>
          <w:p w14:paraId="09C3F53D" w14:textId="0215861B" w:rsidR="00301610" w:rsidRDefault="005A6067" w:rsidP="005A6067">
            <w:pPr>
              <w:spacing w:after="0"/>
              <w:ind w:left="540" w:right="120"/>
            </w:pPr>
            <w:commentRangeStart w:id="11"/>
            <w:r>
              <w:t>nejsou</w:t>
            </w:r>
            <w:commentRangeEnd w:id="11"/>
            <w:r>
              <w:rPr>
                <w:rStyle w:val="Odkaznakoment"/>
              </w:rPr>
              <w:commentReference w:id="11"/>
            </w:r>
          </w:p>
          <w:p w14:paraId="3DA3CAB3" w14:textId="77777777" w:rsidR="00301610" w:rsidRDefault="00301610">
            <w:pPr>
              <w:spacing w:after="0"/>
            </w:pPr>
            <w:r>
              <w:rPr>
                <w:i/>
                <w:iCs/>
                <w:sz w:val="24"/>
                <w:szCs w:val="24"/>
              </w:rPr>
              <w:t>Společní správci</w:t>
            </w:r>
          </w:p>
          <w:p w14:paraId="4FA40EF1" w14:textId="3698AA7F" w:rsidR="00301610" w:rsidRDefault="00AE4017">
            <w:pPr>
              <w:spacing w:after="0"/>
              <w:ind w:left="540" w:right="120"/>
            </w:pPr>
            <w:r>
              <w:t>nejsou</w:t>
            </w:r>
          </w:p>
          <w:p w14:paraId="63DE0C30" w14:textId="77777777" w:rsidR="00301610" w:rsidRDefault="00301610">
            <w:pPr>
              <w:spacing w:after="0"/>
            </w:pPr>
            <w:r>
              <w:rPr>
                <w:i/>
                <w:iCs/>
                <w:sz w:val="24"/>
                <w:szCs w:val="24"/>
              </w:rPr>
              <w:t>Ostatní příjemci</w:t>
            </w:r>
          </w:p>
          <w:p w14:paraId="58868911" w14:textId="18384D77" w:rsidR="00301610" w:rsidRDefault="00AE4017">
            <w:pPr>
              <w:spacing w:after="0"/>
              <w:ind w:left="540" w:right="120"/>
            </w:pPr>
            <w:r>
              <w:t>Zdravotní pojišťovny</w:t>
            </w:r>
          </w:p>
          <w:p w14:paraId="3C454624" w14:textId="77777777" w:rsidR="00301610" w:rsidRDefault="00301610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4"/>
                <w:szCs w:val="24"/>
              </w:rPr>
              <w:t>Interní příjemci</w:t>
            </w:r>
          </w:p>
          <w:p w14:paraId="48A09B4F" w14:textId="52C634EE" w:rsidR="00301610" w:rsidRDefault="00AE4017">
            <w:pPr>
              <w:spacing w:after="0"/>
              <w:ind w:left="540" w:right="120"/>
            </w:pPr>
            <w:r>
              <w:t>nejsou</w:t>
            </w:r>
          </w:p>
        </w:tc>
      </w:tr>
      <w:tr w:rsidR="00301610" w14:paraId="4558FDAC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579C14" w14:textId="77777777" w:rsidR="00301610" w:rsidRDefault="00301610">
            <w:pPr>
              <w:spacing w:after="0"/>
            </w:pPr>
            <w:r>
              <w:rPr>
                <w:sz w:val="24"/>
                <w:szCs w:val="24"/>
              </w:rPr>
              <w:t>Předávání údajů do třetích zemí nebo mezinárodních organizací</w:t>
            </w:r>
          </w:p>
          <w:p w14:paraId="4B0B948A" w14:textId="77777777" w:rsidR="00301610" w:rsidRDefault="00301610">
            <w:r>
              <w:rPr>
                <w:sz w:val="24"/>
                <w:szCs w:val="24"/>
              </w:rPr>
              <w:t>(článek 30, odstavec 1, písm. e) Obecného nařízení – GDPR)</w:t>
            </w:r>
          </w:p>
          <w:p w14:paraId="164E53D8" w14:textId="77777777" w:rsidR="00301610" w:rsidRDefault="00301610">
            <w:r>
              <w:rPr>
                <w:sz w:val="16"/>
                <w:szCs w:val="16"/>
              </w:rPr>
              <w:t>Třetí země jsou země mimo EU / EHP.</w:t>
            </w:r>
          </w:p>
          <w:p w14:paraId="55F3338C" w14:textId="77777777" w:rsidR="00301610" w:rsidRDefault="00301610">
            <w:r>
              <w:rPr>
                <w:sz w:val="16"/>
                <w:szCs w:val="16"/>
              </w:rPr>
              <w:t>Příklady mezinárodních organizací: OSN, WHO, EU</w:t>
            </w:r>
          </w:p>
          <w:p w14:paraId="6E0D76E5" w14:textId="77777777" w:rsidR="00301610" w:rsidRDefault="00301610">
            <w:r>
              <w:rPr>
                <w:sz w:val="16"/>
                <w:szCs w:val="16"/>
              </w:rPr>
              <w:t>Vhodné záruky u takového příjemce jsou obecně nutné, pokud neexistuje žádné rozhodnutí Evropské komise (prováděcí akt). Viz. článek 45, odstavec 3 Obecného nařízení – GDPR.</w:t>
            </w:r>
          </w:p>
          <w:p w14:paraId="159724C2" w14:textId="77777777" w:rsidR="00301610" w:rsidRDefault="00301610">
            <w:r>
              <w:rPr>
                <w:sz w:val="16"/>
                <w:szCs w:val="16"/>
              </w:rPr>
              <w:t xml:space="preserve">Takové záruky lze stanovit podle článku 46 Obecného nařízení – GDPR prostřednictvím závazných interních předpisů o ochraně osobních údajů (závazná </w:t>
            </w:r>
            <w:r>
              <w:rPr>
                <w:sz w:val="16"/>
                <w:szCs w:val="16"/>
              </w:rPr>
              <w:lastRenderedPageBreak/>
              <w:t>podniková pravidla) nebo standardních smluvních doložek EU.</w:t>
            </w:r>
          </w:p>
          <w:p w14:paraId="6269D9CD" w14:textId="77777777" w:rsidR="00301610" w:rsidRDefault="00301610">
            <w:r>
              <w:rPr>
                <w:sz w:val="16"/>
                <w:szCs w:val="16"/>
              </w:rPr>
              <w:t>Pokud není poskytnuta žádná z výše uvedených záruk, je třeba postupovat podle článku 49, odstavce 1 a 2 obecného nařízení – GDPR.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7793" w14:textId="3FAF6D1B" w:rsidR="00301610" w:rsidRDefault="00AE4017">
            <w:r>
              <w:lastRenderedPageBreak/>
              <w:t>Není</w:t>
            </w:r>
          </w:p>
        </w:tc>
      </w:tr>
      <w:tr w:rsidR="00301610" w14:paraId="020DE7CB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087CF7" w14:textId="77777777" w:rsidR="00301610" w:rsidRDefault="00301610">
            <w:pPr>
              <w:spacing w:after="0"/>
            </w:pPr>
            <w:r>
              <w:rPr>
                <w:sz w:val="24"/>
                <w:szCs w:val="24"/>
              </w:rPr>
              <w:t>Definované retenční doby uchovávání pro výmaz různých kategorií údajů</w:t>
            </w:r>
          </w:p>
          <w:p w14:paraId="1AAEBC2A" w14:textId="77777777" w:rsidR="00301610" w:rsidRDefault="00301610">
            <w:r>
              <w:rPr>
                <w:sz w:val="24"/>
                <w:szCs w:val="24"/>
              </w:rPr>
              <w:t>(článek 30, odstavec 1, písm. f) Obecného nařízení – GDPR)</w:t>
            </w:r>
          </w:p>
          <w:p w14:paraId="3C756616" w14:textId="77777777" w:rsidR="00301610" w:rsidRDefault="00301610">
            <w:r>
              <w:rPr>
                <w:sz w:val="16"/>
                <w:szCs w:val="16"/>
              </w:rPr>
              <w:t>Uveďte retenční doby uchování, které byly implementovány v souvislosti s činnostmi zpracování osobních údajů. V případě potřeby uveďte retenční dobu pro každou jednotlivou činnost zpracování, pokud se navzájem sebe liší.</w:t>
            </w:r>
          </w:p>
          <w:p w14:paraId="7EDA27C4" w14:textId="77777777" w:rsidR="00301610" w:rsidRDefault="00301610">
            <w:r>
              <w:rPr>
                <w:sz w:val="16"/>
                <w:szCs w:val="16"/>
              </w:rPr>
              <w:t>Pokud byly retenční doby uchovávání popsány ve vnitřním předpisu organizace (např. skartační řád), postačí odkaz na tento dokument.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3478E0" w14:textId="688CD7E0" w:rsidR="00301610" w:rsidRDefault="00AE4017">
            <w:r>
              <w:rPr>
                <w:sz w:val="24"/>
                <w:szCs w:val="24"/>
              </w:rPr>
              <w:t>doba</w:t>
            </w:r>
            <w:r w:rsidRPr="00AE4017">
              <w:rPr>
                <w:sz w:val="24"/>
                <w:szCs w:val="24"/>
              </w:rPr>
              <w:t xml:space="preserve"> po kterou jsou</w:t>
            </w:r>
            <w:r>
              <w:rPr>
                <w:sz w:val="24"/>
                <w:szCs w:val="24"/>
              </w:rPr>
              <w:t xml:space="preserve"> </w:t>
            </w:r>
            <w:r w:rsidRPr="00AE4017">
              <w:rPr>
                <w:sz w:val="24"/>
                <w:szCs w:val="24"/>
              </w:rPr>
              <w:t>zdravotní pojišťovny oprávněny uskutečnit kontrolu Správce za</w:t>
            </w:r>
            <w:r>
              <w:rPr>
                <w:sz w:val="24"/>
                <w:szCs w:val="24"/>
              </w:rPr>
              <w:t xml:space="preserve"> </w:t>
            </w:r>
            <w:r w:rsidRPr="00AE4017">
              <w:rPr>
                <w:sz w:val="24"/>
                <w:szCs w:val="24"/>
              </w:rPr>
              <w:t>účelem prověřování oprávnění k získání příspěvku z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f</w:t>
            </w:r>
            <w:r w:rsidRPr="00AE4017">
              <w:rPr>
                <w:sz w:val="24"/>
                <w:szCs w:val="24"/>
              </w:rPr>
              <w:t>ondu</w:t>
            </w:r>
            <w:r>
              <w:rPr>
                <w:sz w:val="24"/>
                <w:szCs w:val="24"/>
              </w:rPr>
              <w:t xml:space="preserve"> </w:t>
            </w:r>
            <w:r w:rsidRPr="00AE4017">
              <w:rPr>
                <w:sz w:val="24"/>
                <w:szCs w:val="24"/>
              </w:rPr>
              <w:t>prevence na proplácení testů</w:t>
            </w:r>
          </w:p>
        </w:tc>
      </w:tr>
      <w:tr w:rsidR="00301610" w14:paraId="7150A799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8215FC" w14:textId="77777777" w:rsidR="00301610" w:rsidRDefault="00301610">
            <w:pPr>
              <w:spacing w:after="0"/>
            </w:pPr>
            <w:r>
              <w:rPr>
                <w:sz w:val="24"/>
                <w:szCs w:val="24"/>
              </w:rPr>
              <w:t>Informace k sestavení Oznámení o ochraně osobních údajů</w:t>
            </w:r>
          </w:p>
          <w:p w14:paraId="1B924A14" w14:textId="77777777" w:rsidR="00301610" w:rsidRDefault="00301610">
            <w:r>
              <w:rPr>
                <w:sz w:val="24"/>
                <w:szCs w:val="24"/>
              </w:rPr>
              <w:t>Privacy Notice (zejména článek 13 a násl. Obecného nařízení – GDPR)</w:t>
            </w:r>
          </w:p>
          <w:p w14:paraId="5630B077" w14:textId="77777777" w:rsidR="00301610" w:rsidRDefault="00301610">
            <w:r>
              <w:rPr>
                <w:sz w:val="16"/>
                <w:szCs w:val="16"/>
              </w:rPr>
              <w:t>Pokud jde o článek 15, písm. a) Obecného nařízení – GDPR musí být znám původ dat nebo všech dostupných relevantních informací.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E9ED9" w14:textId="25A3CF01" w:rsidR="00301610" w:rsidRDefault="00AE4017">
            <w:r>
              <w:t>Samostatné oznámení</w:t>
            </w:r>
          </w:p>
        </w:tc>
      </w:tr>
      <w:tr w:rsidR="00AE4017" w14:paraId="1807F6F7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A48D6" w14:textId="05826D30" w:rsidR="00AE4017" w:rsidRDefault="00AE40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Technická a organizační opatření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4586D" w14:textId="77777777" w:rsidR="00AE4017" w:rsidRDefault="00AE4017">
            <w:r w:rsidRPr="00AE4017">
              <w:t>K databázi s údaji mají přístup pouze zaměstnanci, kteří k tomu byli</w:t>
            </w:r>
            <w:r>
              <w:t xml:space="preserve"> </w:t>
            </w:r>
            <w:r w:rsidRPr="00AE4017">
              <w:t xml:space="preserve">pověřeni. </w:t>
            </w:r>
          </w:p>
          <w:p w14:paraId="76AFC889" w14:textId="77777777" w:rsidR="00AE4017" w:rsidRDefault="00AE4017">
            <w:r w:rsidRPr="00AE4017">
              <w:t>Databáze je v lis</w:t>
            </w:r>
            <w:r>
              <w:rPr>
                <w:rFonts w:hint="eastAsia"/>
              </w:rPr>
              <w:t>t</w:t>
            </w:r>
            <w:r>
              <w:t>i</w:t>
            </w:r>
            <w:r w:rsidRPr="00AE4017">
              <w:t>nné podobě</w:t>
            </w:r>
            <w:r>
              <w:t xml:space="preserve"> </w:t>
            </w:r>
            <w:r w:rsidRPr="00AE4017">
              <w:t>zabezpečena v uzamykatelné místnos</w:t>
            </w:r>
            <w:r>
              <w:rPr>
                <w:rFonts w:hint="eastAsia"/>
              </w:rPr>
              <w:t>t</w:t>
            </w:r>
            <w:r>
              <w:t>i</w:t>
            </w:r>
            <w:r w:rsidRPr="00AE4017">
              <w:t xml:space="preserve"> a v uzamykatelné registratuře.</w:t>
            </w:r>
          </w:p>
          <w:p w14:paraId="2E34CA2B" w14:textId="77777777" w:rsidR="00AE4017" w:rsidRDefault="00AE4017">
            <w:r w:rsidRPr="00AE4017">
              <w:t>V digitální podobě je databáze chráněna na zabezpečeném médiu –</w:t>
            </w:r>
            <w:r>
              <w:t xml:space="preserve"> </w:t>
            </w:r>
            <w:r w:rsidRPr="00AE4017">
              <w:t>chráněno heslem, programy pro</w:t>
            </w:r>
            <w:r>
              <w:rPr>
                <w:rFonts w:hint="eastAsia"/>
              </w:rPr>
              <w:t>t</w:t>
            </w:r>
            <w:r>
              <w:t>i</w:t>
            </w:r>
            <w:r w:rsidRPr="00AE4017">
              <w:t xml:space="preserve"> škodlivým kódům. </w:t>
            </w:r>
          </w:p>
          <w:p w14:paraId="0F38FB28" w14:textId="3A3C98B5" w:rsidR="00AE4017" w:rsidRDefault="00AE4017">
            <w:r w:rsidRPr="00AE4017">
              <w:t>Aplikován</w:t>
            </w:r>
            <w:r>
              <w:t xml:space="preserve"> </w:t>
            </w:r>
            <w:r w:rsidRPr="00AE4017">
              <w:t>omezený přístup k údajům.</w:t>
            </w:r>
          </w:p>
        </w:tc>
      </w:tr>
      <w:tr w:rsidR="00AE4017" w14:paraId="5C78CE29" w14:textId="77777777" w:rsidTr="00301610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006BD" w14:textId="08E13402" w:rsidR="00AE4017" w:rsidRDefault="00AE40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Zdroj údajů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F5CD2" w14:textId="42BE0C13" w:rsidR="00AE4017" w:rsidRPr="00AE4017" w:rsidRDefault="00AE4017">
            <w:r>
              <w:t>S</w:t>
            </w:r>
            <w:r w:rsidRPr="00AE4017">
              <w:t>ubjekt údajů, který údaje poskytl na základě jeho zákonné</w:t>
            </w:r>
            <w:r>
              <w:t xml:space="preserve"> </w:t>
            </w:r>
            <w:r w:rsidRPr="00AE4017">
              <w:t>povinnos</w:t>
            </w:r>
            <w:r>
              <w:rPr>
                <w:rFonts w:hint="eastAsia"/>
              </w:rPr>
              <w:t>t</w:t>
            </w:r>
            <w:r>
              <w:t>i správce</w:t>
            </w:r>
            <w:r w:rsidRPr="00AE4017">
              <w:t xml:space="preserve"> podle čl. III mimořádného opatření ministerstva</w:t>
            </w:r>
            <w:r>
              <w:t xml:space="preserve"> </w:t>
            </w:r>
            <w:r w:rsidRPr="00AE4017">
              <w:t>zdravotnictví ze dne 1. 3. 2021, č. j.: MZDR 47828/2020-16/MIN/KAN.</w:t>
            </w:r>
          </w:p>
        </w:tc>
      </w:tr>
    </w:tbl>
    <w:p w14:paraId="3E3A7E56" w14:textId="77777777" w:rsidR="00301610" w:rsidRDefault="00301610" w:rsidP="00301610">
      <w:pPr>
        <w:pStyle w:val="Nadpis1"/>
        <w:rPr>
          <w:rFonts w:ascii="Calibri" w:eastAsia="Calibri" w:hAnsi="Calibri" w:cs="Calibri"/>
          <w:sz w:val="36"/>
          <w:szCs w:val="36"/>
        </w:rPr>
      </w:pPr>
      <w:bookmarkStart w:id="12" w:name="_Toc21"/>
      <w:bookmarkEnd w:id="12"/>
    </w:p>
    <w:p w14:paraId="4063744B" w14:textId="77777777" w:rsidR="00301610" w:rsidRDefault="00301610" w:rsidP="00301610">
      <w:pPr>
        <w:pStyle w:val="Nadpis2"/>
        <w:rPr>
          <w:rFonts w:eastAsia="Calibri"/>
        </w:rPr>
      </w:pPr>
      <w:bookmarkStart w:id="13" w:name="_Toc23"/>
      <w:bookmarkStart w:id="14" w:name="_Toc24"/>
      <w:bookmarkStart w:id="15" w:name="_Toc65696233"/>
      <w:bookmarkEnd w:id="13"/>
      <w:r>
        <w:rPr>
          <w:rFonts w:eastAsia="Calibri"/>
        </w:rPr>
        <w:t>PLATNOST A SPRÁVA DOKUMENTŮ</w:t>
      </w:r>
      <w:bookmarkEnd w:id="14"/>
      <w:bookmarkEnd w:id="15"/>
    </w:p>
    <w:p w14:paraId="427127FB" w14:textId="6A7FEC16" w:rsidR="00301610" w:rsidRDefault="00301610" w:rsidP="00301610">
      <w:pPr>
        <w:rPr>
          <w:rFonts w:eastAsia="Calibri"/>
        </w:rPr>
      </w:pPr>
      <w:r>
        <w:rPr>
          <w:sz w:val="24"/>
          <w:szCs w:val="24"/>
        </w:rPr>
        <w:t xml:space="preserve">Tento dokument je platný od </w:t>
      </w:r>
      <w:r w:rsidR="00AE401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E4017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AE4017">
        <w:rPr>
          <w:sz w:val="24"/>
          <w:szCs w:val="24"/>
        </w:rPr>
        <w:t>1</w:t>
      </w:r>
    </w:p>
    <w:p w14:paraId="0A178DA5" w14:textId="254AC8D2" w:rsidR="00301610" w:rsidRDefault="00301610" w:rsidP="003016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Vlastníkem tohoto dokumentu je </w:t>
      </w:r>
      <w:r w:rsidR="00AE4017">
        <w:rPr>
          <w:sz w:val="24"/>
          <w:szCs w:val="24"/>
        </w:rPr>
        <w:t>[</w:t>
      </w:r>
      <w:commentRangeStart w:id="16"/>
      <w:r w:rsidR="00AE4017">
        <w:rPr>
          <w:sz w:val="24"/>
          <w:szCs w:val="24"/>
        </w:rPr>
        <w:t>pracovní pozice</w:t>
      </w:r>
      <w:commentRangeEnd w:id="16"/>
      <w:r w:rsidR="00AE4017">
        <w:rPr>
          <w:rStyle w:val="Odkaznakoment"/>
        </w:rPr>
        <w:commentReference w:id="16"/>
      </w:r>
      <w:r w:rsidR="00AE4017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a dokument byl naposledy kontrolován a aktualizován </w:t>
      </w:r>
      <w:r w:rsidR="00AE401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E4017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AE4017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46E04884" w14:textId="270F9498" w:rsidR="00AE4017" w:rsidRDefault="00AE4017" w:rsidP="00301610">
      <w:r>
        <w:t>Vydal [</w:t>
      </w:r>
      <w:commentRangeStart w:id="17"/>
      <w:r>
        <w:rPr>
          <w:sz w:val="24"/>
          <w:szCs w:val="24"/>
        </w:rPr>
        <w:t>pracovní pozice</w:t>
      </w:r>
      <w:commentRangeEnd w:id="17"/>
      <w:r>
        <w:rPr>
          <w:rStyle w:val="Odkaznakoment"/>
        </w:rPr>
        <w:commentReference w:id="17"/>
      </w:r>
      <w:r>
        <w:t>], dne [</w:t>
      </w:r>
      <w:commentRangeStart w:id="18"/>
      <w:r>
        <w:t>datum</w:t>
      </w:r>
      <w:commentRangeEnd w:id="18"/>
      <w:r>
        <w:rPr>
          <w:rStyle w:val="Odkaznakoment"/>
        </w:rPr>
        <w:commentReference w:id="18"/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54604030" w14:textId="77777777" w:rsidR="00301610" w:rsidRDefault="00301610" w:rsidP="007A16BF"/>
    <w:sectPr w:rsidR="0030161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ACRESIA Consulting" w:date="2021-03-03T20:19:00Z" w:initials="AC">
    <w:p w14:paraId="0F455170" w14:textId="15A57A69" w:rsidR="005A6067" w:rsidRDefault="005A6067">
      <w:pPr>
        <w:pStyle w:val="Textkomente"/>
      </w:pPr>
      <w:r>
        <w:rPr>
          <w:rStyle w:val="Odkaznakoment"/>
        </w:rPr>
        <w:annotationRef/>
      </w:r>
      <w:r>
        <w:t>Doplnit dle skutečnosti</w:t>
      </w:r>
    </w:p>
  </w:comment>
  <w:comment w:id="3" w:author="ACRESIA Consulting" w:date="2021-03-03T20:19:00Z" w:initials="AC">
    <w:p w14:paraId="600DFE9C" w14:textId="1ABE03E0" w:rsidR="005A6067" w:rsidRDefault="005A6067">
      <w:pPr>
        <w:pStyle w:val="Textkomente"/>
      </w:pPr>
      <w:r>
        <w:rPr>
          <w:rStyle w:val="Odkaznakoment"/>
        </w:rPr>
        <w:annotationRef/>
      </w:r>
      <w:r>
        <w:t>Doplnit dle skutečnosti</w:t>
      </w:r>
    </w:p>
  </w:comment>
  <w:comment w:id="4" w:author="ACRESIA Consulting" w:date="2021-03-03T20:19:00Z" w:initials="AC">
    <w:p w14:paraId="22930B8F" w14:textId="7523576A" w:rsidR="005A6067" w:rsidRDefault="005A6067">
      <w:pPr>
        <w:pStyle w:val="Textkomente"/>
      </w:pPr>
      <w:r>
        <w:rPr>
          <w:rStyle w:val="Odkaznakoment"/>
        </w:rPr>
        <w:annotationRef/>
      </w:r>
      <w:r>
        <w:t>Doplnit dle skutečnosti</w:t>
      </w:r>
    </w:p>
  </w:comment>
  <w:comment w:id="5" w:author="ACRESIA Consulting" w:date="2021-03-03T20:13:00Z" w:initials="AC">
    <w:p w14:paraId="2F658717" w14:textId="31FD210A" w:rsidR="00301610" w:rsidRDefault="00301610">
      <w:pPr>
        <w:pStyle w:val="Textkomente"/>
      </w:pPr>
      <w:r>
        <w:rPr>
          <w:rStyle w:val="Odkaznakoment"/>
        </w:rPr>
        <w:annotationRef/>
      </w:r>
      <w:r>
        <w:t xml:space="preserve">V případě </w:t>
      </w:r>
      <w:proofErr w:type="spellStart"/>
      <w:r>
        <w:t>samotestování</w:t>
      </w:r>
      <w:proofErr w:type="spellEnd"/>
      <w:r>
        <w:t xml:space="preserve"> není další osoba zahrnuta do zpracování. Jinak tomu může být pokud si Organizace objedná jinou firmu na provedení testů</w:t>
      </w:r>
    </w:p>
  </w:comment>
  <w:comment w:id="9" w:author="ACRESIA Consulting" w:date="2021-03-03T20:23:00Z" w:initials="AC">
    <w:p w14:paraId="444A8EC2" w14:textId="2796A45E" w:rsidR="005A6067" w:rsidRDefault="005A6067">
      <w:pPr>
        <w:pStyle w:val="Textkomente"/>
      </w:pPr>
      <w:r>
        <w:rPr>
          <w:rStyle w:val="Odkaznakoment"/>
        </w:rPr>
        <w:annotationRef/>
      </w:r>
      <w:r>
        <w:t>Pokud existuje, doplnit, jinak smažte</w:t>
      </w:r>
    </w:p>
  </w:comment>
  <w:comment w:id="10" w:author="ACRESIA Consulting" w:date="2021-03-03T20:24:00Z" w:initials="AC">
    <w:p w14:paraId="22AE4794" w14:textId="481CF9D6" w:rsidR="005A6067" w:rsidRDefault="005A6067">
      <w:pPr>
        <w:pStyle w:val="Textkomente"/>
      </w:pPr>
      <w:r>
        <w:rPr>
          <w:rStyle w:val="Odkaznakoment"/>
        </w:rPr>
        <w:annotationRef/>
      </w:r>
      <w:r>
        <w:t>Za předpokladu, že Organizace zajistila testování vlastními silami, nikoliv pomocí jiného právního subjektu</w:t>
      </w:r>
    </w:p>
  </w:comment>
  <w:comment w:id="11" w:author="ACRESIA Consulting" w:date="2021-03-03T20:24:00Z" w:initials="AC">
    <w:p w14:paraId="32A193DC" w14:textId="77777777" w:rsidR="005A6067" w:rsidRDefault="005A6067" w:rsidP="005A6067">
      <w:pPr>
        <w:pStyle w:val="Textkomente"/>
      </w:pPr>
      <w:r>
        <w:rPr>
          <w:rStyle w:val="Odkaznakoment"/>
        </w:rPr>
        <w:annotationRef/>
      </w:r>
      <w:r>
        <w:t>Za předpokladu, že Organizace zajistila testování vlastními silami, nikoliv pomocí jiného právního subjektu</w:t>
      </w:r>
    </w:p>
  </w:comment>
  <w:comment w:id="16" w:author="ACRESIA Consulting" w:date="2021-03-03T20:31:00Z" w:initials="AC">
    <w:p w14:paraId="1BC45074" w14:textId="3AB630AD" w:rsidR="00AE4017" w:rsidRDefault="00AE4017">
      <w:pPr>
        <w:pStyle w:val="Textkomente"/>
      </w:pPr>
      <w:r>
        <w:rPr>
          <w:rStyle w:val="Odkaznakoment"/>
        </w:rPr>
        <w:annotationRef/>
      </w:r>
      <w:r>
        <w:t>Doplnit pracovní pozici, obvykle pověřenec pro ochranu osobních údajů</w:t>
      </w:r>
    </w:p>
  </w:comment>
  <w:comment w:id="17" w:author="ACRESIA Consulting" w:date="2021-03-03T20:32:00Z" w:initials="AC">
    <w:p w14:paraId="7A7626CC" w14:textId="2F8A997C" w:rsidR="00AE4017" w:rsidRDefault="00AE4017">
      <w:pPr>
        <w:pStyle w:val="Textkomente"/>
      </w:pPr>
      <w:r>
        <w:rPr>
          <w:rStyle w:val="Odkaznakoment"/>
        </w:rPr>
        <w:annotationRef/>
      </w:r>
      <w:r>
        <w:t>Doplnit dle skutečnosti</w:t>
      </w:r>
    </w:p>
  </w:comment>
  <w:comment w:id="18" w:author="ACRESIA Consulting" w:date="2021-03-03T20:32:00Z" w:initials="AC">
    <w:p w14:paraId="732EEF0E" w14:textId="1490E320" w:rsidR="00AE4017" w:rsidRDefault="00AE4017">
      <w:pPr>
        <w:pStyle w:val="Textkomente"/>
      </w:pPr>
      <w:r>
        <w:rPr>
          <w:rStyle w:val="Odkaznakoment"/>
        </w:rPr>
        <w:annotationRef/>
      </w:r>
      <w:r>
        <w:t>Doplnit dle skutečnosti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455170" w15:done="0"/>
  <w15:commentEx w15:paraId="600DFE9C" w15:done="0"/>
  <w15:commentEx w15:paraId="22930B8F" w15:done="0"/>
  <w15:commentEx w15:paraId="2F658717" w15:done="0"/>
  <w15:commentEx w15:paraId="444A8EC2" w15:done="0"/>
  <w15:commentEx w15:paraId="22AE4794" w15:done="0"/>
  <w15:commentEx w15:paraId="32A193DC" w15:done="0"/>
  <w15:commentEx w15:paraId="1BC45074" w15:done="0"/>
  <w15:commentEx w15:paraId="7A7626CC" w15:done="0"/>
  <w15:commentEx w15:paraId="732EEF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6DCE" w16cex:dateUtc="2021-03-03T19:19:00Z"/>
  <w16cex:commentExtensible w16cex:durableId="23EA6DE4" w16cex:dateUtc="2021-03-03T19:19:00Z"/>
  <w16cex:commentExtensible w16cex:durableId="23EA6DEA" w16cex:dateUtc="2021-03-03T19:19:00Z"/>
  <w16cex:commentExtensible w16cex:durableId="23EA6C71" w16cex:dateUtc="2021-03-03T19:13:00Z"/>
  <w16cex:commentExtensible w16cex:durableId="23EA6EA9" w16cex:dateUtc="2021-03-03T19:23:00Z"/>
  <w16cex:commentExtensible w16cex:durableId="23EA6F16" w16cex:dateUtc="2021-03-03T19:24:00Z"/>
  <w16cex:commentExtensible w16cex:durableId="23EA6F3F" w16cex:dateUtc="2021-03-03T19:24:00Z"/>
  <w16cex:commentExtensible w16cex:durableId="23EA70AC" w16cex:dateUtc="2021-03-03T19:31:00Z"/>
  <w16cex:commentExtensible w16cex:durableId="23EA70C3" w16cex:dateUtc="2021-03-03T19:32:00Z"/>
  <w16cex:commentExtensible w16cex:durableId="23EA70D0" w16cex:dateUtc="2021-03-03T1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455170" w16cid:durableId="23EA6DCE"/>
  <w16cid:commentId w16cid:paraId="600DFE9C" w16cid:durableId="23EA6DE4"/>
  <w16cid:commentId w16cid:paraId="22930B8F" w16cid:durableId="23EA6DEA"/>
  <w16cid:commentId w16cid:paraId="2F658717" w16cid:durableId="23EA6C71"/>
  <w16cid:commentId w16cid:paraId="444A8EC2" w16cid:durableId="23EA6EA9"/>
  <w16cid:commentId w16cid:paraId="22AE4794" w16cid:durableId="23EA6F16"/>
  <w16cid:commentId w16cid:paraId="32A193DC" w16cid:durableId="23EA6F3F"/>
  <w16cid:commentId w16cid:paraId="1BC45074" w16cid:durableId="23EA70AC"/>
  <w16cid:commentId w16cid:paraId="7A7626CC" w16cid:durableId="23EA70C3"/>
  <w16cid:commentId w16cid:paraId="732EEF0E" w16cid:durableId="23EA70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36A7B" w14:textId="77777777" w:rsidR="008F0E4E" w:rsidRDefault="008F0E4E" w:rsidP="004E7D59">
      <w:pPr>
        <w:spacing w:after="0" w:line="240" w:lineRule="auto"/>
      </w:pPr>
      <w:r>
        <w:separator/>
      </w:r>
    </w:p>
  </w:endnote>
  <w:endnote w:type="continuationSeparator" w:id="0">
    <w:p w14:paraId="3F17EB20" w14:textId="77777777" w:rsidR="008F0E4E" w:rsidRDefault="008F0E4E" w:rsidP="004E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1E01DC" w14:paraId="7437F1AE" w14:textId="77777777" w:rsidTr="00313A80">
      <w:tc>
        <w:tcPr>
          <w:tcW w:w="36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3608D1" w14:textId="3D626277" w:rsidR="001E01DC" w:rsidRDefault="001E01DC" w:rsidP="001E01DC">
          <w:pPr>
            <w:pStyle w:val="Zpat"/>
            <w:spacing w:line="25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Testování COVID 19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FD1FFB" w14:textId="0C12C153" w:rsidR="001E01DC" w:rsidRDefault="001E01DC" w:rsidP="001E01DC">
          <w:pPr>
            <w:pStyle w:val="Zpat"/>
            <w:spacing w:line="25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ver 1.0 datum 3.3.2021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7C0A2F2" w14:textId="77777777" w:rsidR="001E01DC" w:rsidRDefault="001E01DC" w:rsidP="001E01DC">
          <w:pPr>
            <w:pStyle w:val="Zpat"/>
            <w:spacing w:line="256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Strana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b/>
              <w:sz w:val="18"/>
              <w:szCs w:val="18"/>
            </w:rPr>
            <w:fldChar w:fldCharType="separate"/>
          </w:r>
          <w:r>
            <w:rPr>
              <w:b/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z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b/>
              <w:sz w:val="18"/>
              <w:szCs w:val="18"/>
            </w:rPr>
            <w:fldChar w:fldCharType="separate"/>
          </w:r>
          <w:r>
            <w:rPr>
              <w:b/>
              <w:sz w:val="18"/>
              <w:szCs w:val="18"/>
            </w:rPr>
            <w:t>4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213FA343" w14:textId="3298F8D1" w:rsidR="001E01DC" w:rsidRPr="00E34FA2" w:rsidRDefault="001E01DC" w:rsidP="001E01DC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©2021 společnost ACRESIA Consulting, s.r.o. </w:t>
    </w:r>
  </w:p>
  <w:p w14:paraId="536C7DE0" w14:textId="77777777" w:rsidR="00AE4017" w:rsidRDefault="00AE4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C505C" w14:textId="77777777" w:rsidR="008F0E4E" w:rsidRDefault="008F0E4E" w:rsidP="004E7D59">
      <w:pPr>
        <w:spacing w:after="0" w:line="240" w:lineRule="auto"/>
      </w:pPr>
      <w:r>
        <w:separator/>
      </w:r>
    </w:p>
  </w:footnote>
  <w:footnote w:type="continuationSeparator" w:id="0">
    <w:p w14:paraId="20659DC5" w14:textId="77777777" w:rsidR="008F0E4E" w:rsidRDefault="008F0E4E" w:rsidP="004E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72B2"/>
    <w:multiLevelType w:val="multilevel"/>
    <w:tmpl w:val="B082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3300D"/>
    <w:multiLevelType w:val="hybridMultilevel"/>
    <w:tmpl w:val="586A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D0C3B"/>
    <w:multiLevelType w:val="multilevel"/>
    <w:tmpl w:val="E4F4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9492B"/>
    <w:multiLevelType w:val="hybridMultilevel"/>
    <w:tmpl w:val="653AE3DC"/>
    <w:lvl w:ilvl="0" w:tplc="E5325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59D9"/>
    <w:multiLevelType w:val="hybridMultilevel"/>
    <w:tmpl w:val="D3FE3F56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41A0E"/>
    <w:multiLevelType w:val="hybridMultilevel"/>
    <w:tmpl w:val="64162EA2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16300"/>
    <w:multiLevelType w:val="multilevel"/>
    <w:tmpl w:val="707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00F03"/>
    <w:multiLevelType w:val="hybridMultilevel"/>
    <w:tmpl w:val="2A30B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C0791"/>
    <w:multiLevelType w:val="hybridMultilevel"/>
    <w:tmpl w:val="E1FE6976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59"/>
    <w:rsid w:val="00055C2D"/>
    <w:rsid w:val="001E01DC"/>
    <w:rsid w:val="002549D1"/>
    <w:rsid w:val="002F47C4"/>
    <w:rsid w:val="002F576E"/>
    <w:rsid w:val="00301610"/>
    <w:rsid w:val="0034447F"/>
    <w:rsid w:val="004B267C"/>
    <w:rsid w:val="004E7D59"/>
    <w:rsid w:val="00540219"/>
    <w:rsid w:val="005A6067"/>
    <w:rsid w:val="005E1C32"/>
    <w:rsid w:val="005F68C5"/>
    <w:rsid w:val="006060E1"/>
    <w:rsid w:val="007A16BF"/>
    <w:rsid w:val="007B34A2"/>
    <w:rsid w:val="007E5D8D"/>
    <w:rsid w:val="008C1DAF"/>
    <w:rsid w:val="008F0E4E"/>
    <w:rsid w:val="0093278C"/>
    <w:rsid w:val="009F378B"/>
    <w:rsid w:val="009F687C"/>
    <w:rsid w:val="00AE4017"/>
    <w:rsid w:val="00B5682E"/>
    <w:rsid w:val="00D53CCD"/>
    <w:rsid w:val="00DB554E"/>
    <w:rsid w:val="00DD7EFD"/>
    <w:rsid w:val="00DF01A5"/>
    <w:rsid w:val="00E23A26"/>
    <w:rsid w:val="00F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A4E3"/>
  <w15:chartTrackingRefBased/>
  <w15:docId w15:val="{AE321CEB-0A02-4A7D-8554-78A8EC41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067"/>
  </w:style>
  <w:style w:type="paragraph" w:styleId="Nadpis1">
    <w:name w:val="heading 1"/>
    <w:basedOn w:val="Normln"/>
    <w:next w:val="Normln"/>
    <w:link w:val="Nadpis1Char"/>
    <w:uiPriority w:val="9"/>
    <w:qFormat/>
    <w:rsid w:val="004B2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1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0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7D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7D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7D59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5E1C32"/>
    <w:pP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1C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4B26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E1C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D7EFD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F68C5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F68C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F68C5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F68C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402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E2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23A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3A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3A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3A2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E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E4017"/>
  </w:style>
  <w:style w:type="paragraph" w:styleId="Zpat">
    <w:name w:val="footer"/>
    <w:basedOn w:val="Normln"/>
    <w:link w:val="ZpatChar"/>
    <w:uiPriority w:val="99"/>
    <w:unhideWhenUsed/>
    <w:rsid w:val="00AE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AE4017"/>
  </w:style>
  <w:style w:type="paragraph" w:styleId="Obsah3">
    <w:name w:val="toc 3"/>
    <w:basedOn w:val="Normln"/>
    <w:next w:val="Normln"/>
    <w:autoRedefine/>
    <w:uiPriority w:val="39"/>
    <w:unhideWhenUsed/>
    <w:rsid w:val="002F47C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6983-8ECE-4CDE-8A2D-0BC7BD1C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ACRESIA Consulting s.r.o.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činnosti zpracování - testování zaměstnanců COVID 19</dc:title>
  <dc:subject/>
  <dc:creator>Luděk Nezmar</dc:creator>
  <cp:keywords>GDPR</cp:keywords>
  <dc:description>©2021 Tato šablona může být využívána klienty ACRESIA Consulting s.r.o. v souladu s ujednáními.</dc:description>
  <cp:lastModifiedBy>Luděk Nezmar</cp:lastModifiedBy>
  <cp:revision>5</cp:revision>
  <dcterms:created xsi:type="dcterms:W3CDTF">2021-03-03T20:00:00Z</dcterms:created>
  <dcterms:modified xsi:type="dcterms:W3CDTF">2021-03-04T10:19:00Z</dcterms:modified>
  <cp:category>Ochrana osobních údajů</cp:category>
</cp:coreProperties>
</file>